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Operator competency confirmed: trained in airless spray equipment operation — manufacturer training or demonstrated competence sighted</w:t>
            </w:r>
          </w:p>
          <w:p>
            <w:pPr>
              <w:spacing w:before="20" w:after="20" w:line="276"/>
              <w:numPr>
                <w:ilvl w:val="0"/>
                <w:numId w:val="44"/>
              </w:numPr>
            </w:pPr>
            <w:r>
              <w:rPr>
                <w:rFonts w:ascii="Aptos" w:hAnsi="Aptos"/>
                <w:sz w:val="16"/>
                <w:szCs w:val="16"/>
              </w:rPr>
              <w:t xml:space="preserve">Equipment pre-start completed: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 never removed during operation. Trigger lock engaged when not actively spraying. Pressure relief valve functional. Hose whip checks fitted to all high-pressure connections. Earthing/grounding strap connected to prevent static discharge —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 upgrade to half-face with OV/P3 cartridge for solvent-based products.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 pressure gauge not functioning — tip guard missing or damaged — any injection injury (treat as medical emergency — do not wait for symptoms) — earthing strap disconnected with solvent-based products —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Overspray containment: scaffold shrink-wrap, drop sheets, and masking to all adjacent surfaces, windows, vehicles, and property. Wind breaks where practicable. Spray tip selected for minimum overspray — correct fan width and orifice size for product.</w:t>
            </w:r>
          </w:p>
          <w:p>
            <w:pPr>
              <w:spacing w:before="20" w:after="20" w:line="276"/>
            </w:pPr>
            <w:r>
              <w:rPr>
                <w:rFonts w:ascii="Aptos" w:hAnsi="Aptos"/>
                <w:sz w:val="16"/>
                <w:szCs w:val="16"/>
                <w:b/>
              </w:rPr>
              <w:t xml:space="preserve">Admin: </w:t>
            </w:r>
            <w:r>
              <w:rPr>
                <w:rFonts w:ascii="Aptos" w:hAnsi="Aptos"/>
                <w:sz w:val="16"/>
                <w:szCs w:val="16"/>
              </w:rPr>
              <w:t xml:space="preserve">Wind speed monitored — no spraying above 15 km/h or per product data sheet limit, whichever is lower. Adjacent property and vehicle owners notified 48 hours before spraying. Spotter positioned to warn of pedestrians and wind changes. Overspray inspection after each spray session — immediate clean-up of any overspray.</w:t>
            </w:r>
          </w:p>
          <w:p>
            <w:pPr>
              <w:spacing w:before="20" w:after="20" w:line="276"/>
            </w:pPr>
            <w:r>
              <w:rPr>
                <w:rFonts w:ascii="Aptos" w:hAnsi="Aptos"/>
                <w:sz w:val="16"/>
                <w:szCs w:val="16"/>
                <w:b/>
              </w:rPr>
              <w:t xml:space="preserve">PPE: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exceeds limit — overspray escaping containment — adjacent property complaint — rain during application — pedestrians entering spray zone — containment failure — suspected skin injection injury (treat as medical emergency —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w:t>
            </w:r>
          </w:p>
        </w:tc>
        <w:tc>
          <w:tcPr>
            <w:tcW w:w="2458" w:type="dxa"/>
          </w:tcPr>
          <w:p>
            <w:pPr>
              <w:spacing w:before="20" w:after="20" w:line="276"/>
            </w:pPr>
            <w:r>
              <w:rPr>
                <w:rFonts w:ascii="Aptos" w:hAnsi="Aptos"/>
                <w:sz w:val="16"/>
                <w:szCs w:val="16"/>
              </w:rPr>
              <w:t xml:space="preserve">Solvent vapour accumulation —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Ventilation assessment completed: mechanical ventilation sized for room volume and product vapour generation rate — air changes per hour confirmed adequate</w:t>
            </w:r>
          </w:p>
          <w:p>
            <w:pPr>
              <w:spacing w:before="20" w:after="20" w:line="276"/>
              <w:numPr>
                <w:ilvl w:val="0"/>
                <w:numId w:val="46"/>
              </w:numPr>
            </w:pPr>
            <w:r>
              <w:rPr>
                <w:rFonts w:ascii="Aptos" w:hAnsi="Aptos"/>
                <w:sz w:val="16"/>
                <w:szCs w:val="16"/>
              </w:rPr>
              <w:t xml:space="preserve">Atmospheric monitoring in place if solvent-based products used — LEL monitor calibrated and alarming at 10% LEL</w:t>
            </w:r>
          </w:p>
          <w:p>
            <w:pPr>
              <w:spacing w:before="20" w:after="20" w:line="276"/>
              <w:numPr>
                <w:ilvl w:val="0"/>
                <w:numId w:val="46"/>
              </w:numPr>
            </w:pPr>
            <w:r>
              <w:rPr>
                <w:rFonts w:ascii="Aptos" w:hAnsi="Aptos"/>
                <w:sz w:val="16"/>
                <w:szCs w:val="16"/>
              </w:rPr>
              <w:t xml:space="preserve">All ignition sources eliminated: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 minimum two exits from spray area where practicable</w:t>
            </w:r>
          </w:p>
          <w:p>
            <w:pPr>
              <w:spacing w:before="20" w:after="20" w:line="276"/>
              <w:numPr>
                <w:ilvl w:val="0"/>
                <w:numId w:val="46"/>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 extraction discharges externally, no recirculation. Explosion-proof electrical fittings in spray zone if solvent-based products. LEL monitor with audible alarm at 10% LEL —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Water-based products preferred over solvent-based for interior work. Spray schedule coordinated to minimise exposure duration. Buddy system —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 ventilation fails or reduces — any worker reports dizziness, nausea, or irritation — visibility drops below 3m — ignition source identified in spray zone — single exit only and no buddy available —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pPr>
            <w:r>
              <w:rPr>
                <w:rFonts w:ascii="Aptos" w:hAnsi="Aptos"/>
                <w:sz w:val="16"/>
                <w:szCs w:val="16"/>
              </w:rPr>
              <w:t xml:space="preserve">Respiratory sensitisation from isocyanate inhalation — occupational asthma, irreversible airway damage. Skin sensitisation. Exothermic reaction during mixing. 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Product SDS reviewed — isocyanate component identified (HDI, MDI, TDI, or polymeric isocyanate). Isocyanate-specific controls activated</w:t>
            </w:r>
          </w:p>
          <w:p>
            <w:pPr>
              <w:spacing w:before="20" w:after="20" w:line="276"/>
              <w:numPr>
                <w:ilvl w:val="0"/>
                <w:numId w:val="48"/>
              </w:numPr>
            </w:pPr>
            <w:r>
              <w:rPr>
                <w:rFonts w:ascii="Aptos" w:hAnsi="Aptos"/>
                <w:sz w:val="16"/>
                <w:szCs w:val="16"/>
              </w:rPr>
              <w:t xml:space="preserve">Workers confirmed medically fit for isocyanate exposure — pre-employment respiratory assessment (spirometry/lung function) completed. No worker with known respiratory sensitisation to isocyanates permitted in spray zone</w:t>
            </w:r>
          </w:p>
          <w:p>
            <w:pPr>
              <w:spacing w:before="20" w:after="20" w:line="276"/>
              <w:numPr>
                <w:ilvl w:val="0"/>
                <w:numId w:val="48"/>
              </w:numPr>
            </w:pPr>
            <w:r>
              <w:rPr>
                <w:rFonts w:ascii="Aptos" w:hAnsi="Aptos"/>
                <w:sz w:val="16"/>
                <w:szCs w:val="16"/>
              </w:rPr>
              <w:t xml:space="preserve">Supplied-air respiratory protection confirmed: positive-pressure airline system or PAPR with combination OV/P3. Half-face cartridge respirator is NOT adequate for spray application of isocyanates</w:t>
            </w:r>
          </w:p>
          <w:p>
            <w:pPr>
              <w:spacing w:before="20" w:after="20" w:line="276"/>
              <w:numPr>
                <w:ilvl w:val="0"/>
                <w:numId w:val="48"/>
              </w:numPr>
            </w:pPr>
            <w:r>
              <w:rPr>
                <w:rFonts w:ascii="Aptos" w:hAnsi="Aptos"/>
                <w:sz w:val="16"/>
                <w:szCs w:val="16"/>
              </w:rPr>
              <w:t xml:space="preserve">Continuous isocyanate air monitoring arranged —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for all workers in spray zone. Local exhaust ventilation or spray booth with external discharge —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or PAPR with OV/P3). Disposable Type 5/6 coveralls — removed before leaving spray zone. Nitrile chemical-resistant gloves. Eye protection or full-face supplied-air hood.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respiratory symptoms in spray zone (wheeze, chest tightness, cough, shortness of breath) — treat as sensitisation event, remove worker, seek medical assessment. Air monitoring exceeds WES — supplied-air system fault — ventilation fails — product mixed outside pot life — worker without medical fitness clearance —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Stormwater drains bunded and covered within 10m of spray zone. Wash-water captured in containment —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stormwater protection, waste disposal, noise management. Paint waste and wash-water disposed of as trade waste — not to sewer or stormwater. Adjacent property register maintained — pre/post condition photos. Resident/tenant notification 48 hours before spray operations.</w:t>
            </w:r>
          </w:p>
          <w:p>
            <w:pPr>
              <w:spacing w:before="20" w:after="20" w:line="276"/>
            </w:pPr>
            <w:r>
              <w:rPr>
                <w:rFonts w:ascii="Aptos" w:hAnsi="Aptos"/>
                <w:sz w:val="16"/>
                <w:szCs w:val="16"/>
                <w:b/>
              </w:rPr>
              <w:t xml:space="preserve">PPE: </w:t>
            </w:r>
            <w:r>
              <w:rPr>
                <w:rFonts w:ascii="Aptos" w:hAnsi="Aptos"/>
                <w:sz w:val="16"/>
                <w:szCs w:val="16"/>
              </w:rPr>
              <w:t xml:space="preserve">As per spray application task requirements.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Overspray escapes containment — paint or wash-water enters stormwater — community complaint not resolved — containment fails —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Cleaning in well-ventilated area only — outdoors preferred. Solvent waste captured in sealed metal containers — not poured to drain. Pressure bled down before disassembly. Solvent-soaked rags in self-closing metal bin — removed from site daily.</w:t>
            </w:r>
          </w:p>
          <w:p>
            <w:pPr>
              <w:spacing w:before="20" w:after="20" w:line="276"/>
            </w:pPr>
            <w:r>
              <w:rPr>
                <w:rFonts w:ascii="Aptos" w:hAnsi="Aptos"/>
                <w:sz w:val="16"/>
                <w:szCs w:val="16"/>
                <w:b/>
              </w:rPr>
              <w:t xml:space="preserve">Admin: </w:t>
            </w:r>
            <w:r>
              <w:rPr>
                <w:rFonts w:ascii="Aptos" w:hAnsi="Aptos"/>
                <w:sz w:val="16"/>
                <w:szCs w:val="16"/>
              </w:rPr>
              <w:t xml:space="preserve">SDS for all solvents and thinners reviewed. Minimum solvent quantity used — water flush first where possible with water-based products. Solvent waste disposal via licensed contractor. No smoking or ignition sources within 5m of cleaning area.</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Solvent spill not contained — ventilation inadequate — ignition source near cleaning area —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1"/>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